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много округа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</w:t>
      </w:r>
      <w:r>
        <w:rPr>
          <w:rFonts w:ascii="Times New Roman" w:eastAsia="Times New Roman" w:hAnsi="Times New Roman" w:cs="Times New Roman"/>
          <w:sz w:val="26"/>
          <w:szCs w:val="26"/>
        </w:rPr>
        <w:t>ты-Мансийский автономный округ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Югра, г. Ханты-Мансийск, ул. Ленина, дом 87/1),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>гваздина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 2 ст.12.27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Загваздин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дома 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</w:t>
      </w:r>
      <w:r>
        <w:rPr>
          <w:rStyle w:val="cat-CarMakeModelgrp-23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наезд </w:t>
      </w:r>
      <w:r>
        <w:rPr>
          <w:rFonts w:ascii="Times New Roman" w:eastAsia="Times New Roman" w:hAnsi="Times New Roman" w:cs="Times New Roman"/>
          <w:sz w:val="26"/>
          <w:szCs w:val="26"/>
        </w:rPr>
        <w:t>на препятствие, а именно металлические ворота гаража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дорожно-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происшествия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 и металлические ворота получили механические повреждения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после чего 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п.2.5 ПДД РФ оставил место дорожно-транспортного происшествия, участником которого он являлся.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Загваздин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судебном заседании вину признал, раскаялся в содеянном. Пояснил, что из-за неисправности автомобиля совершил наезд на металлические ворота гаража.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образом. О причинах неявки не сообщил.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пункта 4 части 1 статьи 29.7 КоАП РФ дело рассмотрено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потерпевшего.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полагает, что вина лица, привлекаемого к административной ответственности, подтверждается совокупностью представленных доказательств: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>699046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событие и обстоятельства административного правонарушения. Указанный протокол соста</w:t>
      </w:r>
      <w:r>
        <w:rPr>
          <w:rFonts w:ascii="Times New Roman" w:eastAsia="Times New Roman" w:hAnsi="Times New Roman" w:cs="Times New Roman"/>
          <w:sz w:val="26"/>
          <w:szCs w:val="26"/>
        </w:rPr>
        <w:t>влен в присутствии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>, копия вручена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определения о возбуждении дела об административном правонарушении и проведении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расследования от 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осмотра транспортного средства </w:t>
      </w:r>
      <w:r>
        <w:rPr>
          <w:rStyle w:val="cat-CarMakeModelgrp-23rplc-3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осмотра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аража»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схемой происшествия от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 карточк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учета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договором купли-продажи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Объективных данных, ставящих под сомнение вышеназванные доказательства, в материалах дела не содержится, нарушений требований закона при их составлении не допущено, все сведения, необходимые для разрешения дела, в протоколах отражены правильно, оснований не доверять составленным в установленном административным законодательством порядке материалам у суда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ДТП мировым судьёй установлен, подтверждается имеющимися в материалах дела доказательствами, которые были оценены в совокупности.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ч.2 ст.12.27 КоАП РФ, подлежат привлечению водители транспортных средств, оставившие в нарушение Правил дорожного движения место дорожно-транспортного происшествия, участником которого они являются.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Правилами дорожного движения РФ «дорожно-транспортное происшествие»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п.1.3 ПДД РФ участники дорожного движения обязаны знать и соблюдать относящиеся к ним требования Правил, согласно п.2.5 которых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пункта 7.2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правовой позиции Конституционного Суда РФ, высказанной в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 апреля 2001 года №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Правил дорожного движения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осознавая, что стал участником ДТП, не остановил транспортное средство, не включил аварийную сигнализацию, не выставил знак аварийной остановки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пунктов 2.5, 7.2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а, напротив, уехал с места происшествия.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ст.12.27 КоАП РФ –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и степень общественной опасности совершённого административного правонарушения, объектом которого является безопасность дорожного движения, фактические обстоятельства дела, негативные последствия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 транспортным средством в виде совершения дорожно-транспортного происшествия, данные о личности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Загваздин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трудоспособном возрасте, не лишен получения доходов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Загваздину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ч. 2 ст. 12.27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3.1, 3.8 и 4.1 КоАП РФ,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</w:t>
      </w:r>
      <w:r>
        <w:rPr>
          <w:rFonts w:ascii="Times New Roman" w:eastAsia="Times New Roman" w:hAnsi="Times New Roman" w:cs="Times New Roman"/>
          <w:sz w:val="26"/>
          <w:szCs w:val="26"/>
        </w:rPr>
        <w:t>оженного и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23.1, 29.9 - 29.11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>гваздина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ч.2 ст. 12.27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на </w:t>
      </w:r>
      <w:r>
        <w:rPr>
          <w:rStyle w:val="cat-UserDefinedgrp-33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2rplc-4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PassportDatagrp-20rplc-16">
    <w:name w:val="cat-PassportData grp-20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ExternalSystemDefinedgrp-24rplc-18">
    <w:name w:val="cat-ExternalSystemDefined grp-24 rplc-18"/>
    <w:basedOn w:val="DefaultParagraphFont"/>
  </w:style>
  <w:style w:type="character" w:customStyle="1" w:styleId="cat-Timegrp-21rplc-21">
    <w:name w:val="cat-Time grp-21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CarMakeModelgrp-23rplc-25">
    <w:name w:val="cat-CarMakeModel grp-23 rplc-25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CarMakeModelgrp-23rplc-32">
    <w:name w:val="cat-CarMakeModel grp-23 rplc-32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27rplc-47">
    <w:name w:val="cat-UserDefined grp-27 rplc-47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Timegrp-22rplc-49">
    <w:name w:val="cat-Time grp-22 rplc-49"/>
    <w:basedOn w:val="DefaultParagraphFont"/>
  </w:style>
  <w:style w:type="character" w:customStyle="1" w:styleId="cat-UserDefinedgrp-34rplc-51">
    <w:name w:val="cat-UserDefined grp-3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